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center"/>
        <w:rPr>
          <w:sz w:val="20"/>
          <w:szCs w:val="20"/>
        </w:rPr>
      </w:pPr>
      <w:r>
        <w:rPr>
          <w:rFonts w:eastAsia="Adobe Fangsong Std R" w:cs="Adobe Arabic"/>
          <w:noProof/>
          <w:sz w:val="20"/>
          <w:szCs w:val="20"/>
          <w:lang w:eastAsia="en-GB"/>
        </w:rPr>
        <w:drawing>
          <wp:anchor distT="0" distB="0" distL="114300" distR="114300" simplePos="0" relativeHeight="251659264" behindDoc="1" locked="0" layoutInCell="1" allowOverlap="1">
            <wp:simplePos x="0" y="0"/>
            <wp:positionH relativeFrom="column">
              <wp:posOffset>552450</wp:posOffset>
            </wp:positionH>
            <wp:positionV relativeFrom="paragraph">
              <wp:posOffset>38100</wp:posOffset>
            </wp:positionV>
            <wp:extent cx="5759450" cy="1381125"/>
            <wp:effectExtent l="0" t="0" r="0" b="9525"/>
            <wp:wrapTight wrapText="bothSides">
              <wp:wrapPolygon edited="0">
                <wp:start x="0" y="0"/>
                <wp:lineTo x="0" y="21451"/>
                <wp:lineTo x="21505" y="21451"/>
                <wp:lineTo x="21505" y="0"/>
                <wp:lineTo x="0" y="0"/>
              </wp:wrapPolygon>
            </wp:wrapTight>
            <wp:docPr id="1" name="Picture 1"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Title"/>
        <w:jc w:val="center"/>
        <w:rPr>
          <w:rStyle w:val="BookTitle"/>
          <w:sz w:val="28"/>
          <w:szCs w:val="28"/>
        </w:rPr>
      </w:pPr>
      <w:r>
        <w:rPr>
          <w:rStyle w:val="BookTitle"/>
          <w:sz w:val="28"/>
          <w:szCs w:val="28"/>
        </w:rPr>
        <w:t>Catch Up Funding for Year 7 Pupils - 2018 Hailey Hall School</w:t>
      </w:r>
    </w:p>
    <w:p>
      <w:pPr>
        <w:pStyle w:val="Heading1"/>
        <w:jc w:val="center"/>
      </w:pPr>
      <w:r>
        <w:t>What is CaTCH UP Funding?</w:t>
      </w:r>
    </w:p>
    <w:p>
      <w:pPr>
        <w:rPr>
          <w:rStyle w:val="SubtleReference"/>
          <w:sz w:val="22"/>
          <w:szCs w:val="22"/>
        </w:rPr>
      </w:pPr>
      <w:r>
        <w:rPr>
          <w:rStyle w:val="SubtleReference"/>
          <w:sz w:val="22"/>
          <w:szCs w:val="22"/>
        </w:rPr>
        <w:t>The Deputy Prime Minister announced in September 2012 that secondary schools will receive funds for each year 7 pupil who did not achieve Level 4 or better at Key Stage 2 in reading and/or Maths.  Since the National Curriculum Levels were abolished in 2016, the criteria of level 4 was no longer relevant, so now schools receive  the overall funding that they received in 2016/17 adjusted to the percentage change in the current Year 7 cohort.</w:t>
      </w:r>
    </w:p>
    <w:p>
      <w:pPr>
        <w:pStyle w:val="Heading1"/>
        <w:jc w:val="center"/>
        <w:rPr>
          <w:rStyle w:val="SubtleReference"/>
          <w:b/>
          <w:bCs/>
          <w:color w:val="FFFFFF" w:themeColor="background1"/>
        </w:rPr>
      </w:pPr>
      <w:r>
        <w:rPr>
          <w:rStyle w:val="SubtleReference"/>
          <w:color w:val="FFFFFF" w:themeColor="background1"/>
        </w:rPr>
        <w:t>How Should the Funding be Used and for which pupils?</w:t>
      </w:r>
    </w:p>
    <w:p>
      <w:r>
        <w:t>With the abolition of National Curriculum levels, it is now up to schools to identify which Year 7 pupils are in need to extra help with literacy and numeracy. We look at certain factors to ascertain which pupils are in need of intervention such as looking at the Question Level Analysis for Key Stage 2 in RAISEONLINE’s replacement ASP.</w:t>
      </w:r>
    </w:p>
    <w:p>
      <w:pPr>
        <w:pStyle w:val="Heading1"/>
        <w:jc w:val="center"/>
      </w:pPr>
      <w:r>
        <w:t>How much did we receive in funding in the academic year 2017-18?</w:t>
      </w:r>
    </w:p>
    <w:p>
      <w:pPr>
        <w:jc w:val="center"/>
      </w:pPr>
      <w:r>
        <w:t>In the Academic Year 2017-18 Hailey Hall School received £5,250 in Catch up Funding.</w:t>
      </w:r>
    </w:p>
    <w:p>
      <w:pPr>
        <w:pStyle w:val="Heading1"/>
        <w:jc w:val="center"/>
      </w:pPr>
      <w:r>
        <w:t>How Much funding did we receive in the academic year 2016-17 and how did we spend this funding?</w:t>
      </w:r>
    </w:p>
    <w:p>
      <w:r>
        <w:t>In the previous academic year we received £4,500 and these are some ways in which the funding benefitted pupils:</w:t>
      </w:r>
    </w:p>
    <w:p>
      <w:pPr>
        <w:pStyle w:val="ListParagraph"/>
        <w:numPr>
          <w:ilvl w:val="0"/>
          <w:numId w:val="5"/>
        </w:numPr>
      </w:pPr>
      <w:r>
        <w:t>Smaller groupings for pupils and Outdoor Adventurous activities programme for Year 7s</w:t>
      </w:r>
    </w:p>
    <w:p>
      <w:pPr>
        <w:pStyle w:val="ListParagraph"/>
        <w:numPr>
          <w:ilvl w:val="0"/>
          <w:numId w:val="5"/>
        </w:numPr>
      </w:pPr>
      <w:r>
        <w:t>The Summer school and transition programme meant staff were able settle pupils more quickly into school, encourage independence, build pupil confidence and meet individual pupil need</w:t>
      </w:r>
    </w:p>
    <w:p>
      <w:pPr>
        <w:pStyle w:val="ListParagraph"/>
        <w:numPr>
          <w:ilvl w:val="0"/>
          <w:numId w:val="4"/>
        </w:numPr>
      </w:pPr>
      <w:r>
        <w:t>All of the pupils are receiving 1:1 Literacy and Numeracy support to support their learning.  They also receiving other interventions to fulfil other needs related to their statement of Special Educational Needs or Education Heath and Care plan.</w:t>
      </w:r>
    </w:p>
    <w:p>
      <w:pPr>
        <w:pStyle w:val="ListParagraph"/>
        <w:numPr>
          <w:ilvl w:val="0"/>
          <w:numId w:val="4"/>
        </w:numPr>
      </w:pPr>
      <w:r>
        <w:t>Individualised behavioural, emotional and social intervention and Support from form tutor.</w:t>
      </w:r>
    </w:p>
    <w:p>
      <w:pPr>
        <w:pStyle w:val="ListParagraph"/>
        <w:numPr>
          <w:ilvl w:val="0"/>
          <w:numId w:val="4"/>
        </w:numPr>
      </w:pPr>
      <w:r>
        <w:t>Purchase of resources for the above.</w:t>
      </w:r>
    </w:p>
    <w:p>
      <w:pPr>
        <w:pStyle w:val="ListParagraph"/>
        <w:numPr>
          <w:ilvl w:val="0"/>
          <w:numId w:val="4"/>
        </w:numPr>
      </w:pPr>
      <w:r>
        <w:t>Support Staff in the classroom.</w:t>
      </w:r>
    </w:p>
    <w:p>
      <w:pPr>
        <w:pStyle w:val="ListParagraph"/>
        <w:numPr>
          <w:ilvl w:val="0"/>
          <w:numId w:val="4"/>
        </w:numPr>
      </w:pPr>
      <w:r>
        <w:t>After school activities and interventions including motivational activities.</w:t>
      </w:r>
    </w:p>
    <w:p>
      <w:pPr>
        <w:pStyle w:val="ListParagraph"/>
        <w:numPr>
          <w:ilvl w:val="0"/>
          <w:numId w:val="4"/>
        </w:numPr>
      </w:pPr>
      <w:r>
        <w:t xml:space="preserve">New books in the library chosen by the pupils that are of interest to them.  This has helped to encourage reluctant readers and has supported all pupils of different ages and abilities. </w:t>
      </w:r>
    </w:p>
    <w:p>
      <w:pPr>
        <w:pStyle w:val="ListParagraph"/>
        <w:numPr>
          <w:ilvl w:val="0"/>
          <w:numId w:val="4"/>
        </w:numPr>
      </w:pPr>
      <w:r>
        <w:t>Additional IT support and network to support pupil learning in class.</w:t>
      </w:r>
    </w:p>
    <w:p>
      <w:pPr>
        <w:pStyle w:val="ListParagraph"/>
        <w:numPr>
          <w:ilvl w:val="0"/>
          <w:numId w:val="4"/>
        </w:numPr>
      </w:pPr>
      <w:r>
        <w:t>Implementation of the Reading, Spelling and Maths for Purpose programmes carried out during tutor groups.  These are monitored by learning walks carried out by members of SLT and Middle management.</w:t>
      </w:r>
    </w:p>
    <w:p>
      <w:pPr>
        <w:pStyle w:val="Heading1"/>
        <w:jc w:val="center"/>
      </w:pPr>
      <w:r>
        <w:lastRenderedPageBreak/>
        <w:t>How have these pupils progressed in English and Maths? how the catch up funding has made a difference in attainment</w:t>
      </w:r>
    </w:p>
    <w:p>
      <w:pPr>
        <w:pStyle w:val="Heading1"/>
        <w:jc w:val="center"/>
      </w:pPr>
      <w:r>
        <w:t>Impact of Interventions on Learning</w:t>
      </w:r>
    </w:p>
    <w:p>
      <w:r>
        <w:t>As mentioned previously, National Curriculum levels were abolished and at Hailey Hall School we designed a robust “life without levels” system. Students are given a band from approaching through to Mastering.</w:t>
      </w:r>
    </w:p>
    <w:tbl>
      <w:tblPr>
        <w:tblStyle w:val="LightShading-Accent4"/>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09"/>
        <w:gridCol w:w="992"/>
        <w:gridCol w:w="993"/>
        <w:gridCol w:w="6179"/>
      </w:tblGrid>
      <w:tr>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r>
              <w:t>Name</w:t>
            </w:r>
          </w:p>
        </w:tc>
        <w:tc>
          <w:tcPr>
            <w:tcW w:w="992" w:type="dxa"/>
            <w:tcBorders>
              <w:top w:val="single" w:sz="4" w:space="0" w:color="auto"/>
              <w:left w:val="single" w:sz="4" w:space="0" w:color="auto"/>
              <w:bottom w:val="single" w:sz="4" w:space="0" w:color="auto"/>
              <w:right w:val="single" w:sz="4" w:space="0" w:color="auto"/>
            </w:tcBorders>
          </w:tcPr>
          <w:p>
            <w:pPr>
              <w:cnfStyle w:val="100000000000" w:firstRow="1" w:lastRow="0" w:firstColumn="0" w:lastColumn="0" w:oddVBand="0" w:evenVBand="0" w:oddHBand="0" w:evenHBand="0" w:firstRowFirstColumn="0" w:firstRowLastColumn="0" w:lastRowFirstColumn="0" w:lastRowLastColumn="0"/>
            </w:pPr>
            <w:r>
              <w:t>Pupil Premium</w:t>
            </w:r>
          </w:p>
        </w:tc>
        <w:tc>
          <w:tcPr>
            <w:tcW w:w="709" w:type="dxa"/>
            <w:tcBorders>
              <w:top w:val="single" w:sz="4" w:space="0" w:color="auto"/>
              <w:left w:val="single" w:sz="4" w:space="0" w:color="auto"/>
              <w:bottom w:val="single" w:sz="4" w:space="0" w:color="auto"/>
              <w:right w:val="single" w:sz="4" w:space="0" w:color="auto"/>
            </w:tcBorders>
          </w:tcPr>
          <w:p>
            <w:pPr>
              <w:cnfStyle w:val="100000000000" w:firstRow="1" w:lastRow="0" w:firstColumn="0" w:lastColumn="0" w:oddVBand="0" w:evenVBand="0" w:oddHBand="0" w:evenHBand="0" w:firstRowFirstColumn="0" w:firstRowLastColumn="0" w:lastRowFirstColumn="0" w:lastRowLastColumn="0"/>
            </w:pPr>
            <w:r>
              <w:t>BME</w:t>
            </w:r>
          </w:p>
        </w:tc>
        <w:tc>
          <w:tcPr>
            <w:tcW w:w="992" w:type="dxa"/>
            <w:tcBorders>
              <w:top w:val="single" w:sz="4" w:space="0" w:color="auto"/>
              <w:left w:val="single" w:sz="4" w:space="0" w:color="auto"/>
              <w:bottom w:val="single" w:sz="4" w:space="0" w:color="auto"/>
              <w:right w:val="single" w:sz="4" w:space="0" w:color="auto"/>
            </w:tcBorders>
          </w:tcPr>
          <w:p>
            <w:pPr>
              <w:cnfStyle w:val="100000000000" w:firstRow="1" w:lastRow="0" w:firstColumn="0" w:lastColumn="0" w:oddVBand="0" w:evenVBand="0" w:oddHBand="0" w:evenHBand="0" w:firstRowFirstColumn="0" w:firstRowLastColumn="0" w:lastRowFirstColumn="0" w:lastRowLastColumn="0"/>
            </w:pPr>
            <w:r>
              <w:t xml:space="preserve">Progress </w:t>
            </w:r>
            <w:proofErr w:type="spellStart"/>
            <w:r>
              <w:t>Eng</w:t>
            </w:r>
            <w:proofErr w:type="spellEnd"/>
          </w:p>
        </w:tc>
        <w:tc>
          <w:tcPr>
            <w:tcW w:w="993" w:type="dxa"/>
            <w:tcBorders>
              <w:top w:val="single" w:sz="4" w:space="0" w:color="auto"/>
              <w:left w:val="single" w:sz="4" w:space="0" w:color="auto"/>
              <w:bottom w:val="single" w:sz="4" w:space="0" w:color="auto"/>
              <w:right w:val="single" w:sz="4" w:space="0" w:color="auto"/>
            </w:tcBorders>
          </w:tcPr>
          <w:p>
            <w:pPr>
              <w:cnfStyle w:val="100000000000" w:firstRow="1" w:lastRow="0" w:firstColumn="0" w:lastColumn="0" w:oddVBand="0" w:evenVBand="0" w:oddHBand="0" w:evenHBand="0" w:firstRowFirstColumn="0" w:firstRowLastColumn="0" w:lastRowFirstColumn="0" w:lastRowLastColumn="0"/>
            </w:pPr>
            <w:r>
              <w:t>Progress Maths</w:t>
            </w:r>
          </w:p>
        </w:tc>
        <w:tc>
          <w:tcPr>
            <w:tcW w:w="6179" w:type="dxa"/>
            <w:tcBorders>
              <w:top w:val="single" w:sz="4" w:space="0" w:color="auto"/>
              <w:left w:val="single" w:sz="4" w:space="0" w:color="auto"/>
              <w:bottom w:val="single" w:sz="4" w:space="0" w:color="auto"/>
              <w:right w:val="single" w:sz="4" w:space="0" w:color="auto"/>
            </w:tcBorders>
          </w:tcPr>
          <w:p>
            <w:pPr>
              <w:cnfStyle w:val="100000000000" w:firstRow="1" w:lastRow="0" w:firstColumn="0" w:lastColumn="0" w:oddVBand="0" w:evenVBand="0" w:oddHBand="0" w:evenHBand="0" w:firstRowFirstColumn="0" w:firstRowLastColumn="0" w:lastRowFirstColumn="0" w:lastRowLastColumn="0"/>
            </w:pPr>
            <w:r>
              <w:t>Context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r>
              <w:t>AA</w:t>
            </w:r>
          </w:p>
        </w:tc>
        <w:tc>
          <w:tcPr>
            <w:tcW w:w="992"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Yes</w:t>
            </w:r>
          </w:p>
        </w:tc>
        <w:tc>
          <w:tcPr>
            <w:tcW w:w="709"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No</w:t>
            </w:r>
          </w:p>
        </w:tc>
        <w:tc>
          <w:tcPr>
            <w:tcW w:w="992"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E2-D1</w:t>
            </w:r>
          </w:p>
        </w:tc>
        <w:tc>
          <w:tcPr>
            <w:tcW w:w="993"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A3-E2</w:t>
            </w:r>
          </w:p>
        </w:tc>
        <w:tc>
          <w:tcPr>
            <w:tcW w:w="6179"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2 sublevels of progress in both subjects</w:t>
            </w:r>
          </w:p>
        </w:tc>
      </w:tr>
      <w:t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r>
              <w:t>JB</w:t>
            </w:r>
          </w:p>
        </w:tc>
        <w:tc>
          <w:tcPr>
            <w:tcW w:w="992"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Yes</w:t>
            </w:r>
          </w:p>
        </w:tc>
        <w:tc>
          <w:tcPr>
            <w:tcW w:w="709"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No</w:t>
            </w:r>
          </w:p>
        </w:tc>
        <w:tc>
          <w:tcPr>
            <w:tcW w:w="992"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E1-D1</w:t>
            </w:r>
          </w:p>
        </w:tc>
        <w:tc>
          <w:tcPr>
            <w:tcW w:w="993"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A2-D1</w:t>
            </w:r>
          </w:p>
        </w:tc>
        <w:tc>
          <w:tcPr>
            <w:tcW w:w="6179"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1 whole level progress in English and more than one whole level in Maths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r>
              <w:t>DG</w:t>
            </w:r>
          </w:p>
        </w:tc>
        <w:tc>
          <w:tcPr>
            <w:tcW w:w="992"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Yes</w:t>
            </w:r>
          </w:p>
        </w:tc>
        <w:tc>
          <w:tcPr>
            <w:tcW w:w="709"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No</w:t>
            </w:r>
          </w:p>
        </w:tc>
        <w:tc>
          <w:tcPr>
            <w:tcW w:w="992"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E1-E3</w:t>
            </w:r>
          </w:p>
        </w:tc>
        <w:tc>
          <w:tcPr>
            <w:tcW w:w="993"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A2-E2</w:t>
            </w:r>
          </w:p>
        </w:tc>
        <w:tc>
          <w:tcPr>
            <w:tcW w:w="6179" w:type="dxa"/>
            <w:tcBorders>
              <w:top w:val="single" w:sz="4" w:space="0" w:color="auto"/>
              <w:left w:val="single" w:sz="4" w:space="0" w:color="auto"/>
              <w:bottom w:val="single" w:sz="4" w:space="0" w:color="auto"/>
              <w:right w:val="single" w:sz="4" w:space="0" w:color="auto"/>
            </w:tcBorders>
          </w:tcPr>
          <w:p>
            <w:pPr>
              <w:cnfStyle w:val="000000100000" w:firstRow="0" w:lastRow="0" w:firstColumn="0" w:lastColumn="0" w:oddVBand="0" w:evenVBand="0" w:oddHBand="1" w:evenHBand="0" w:firstRowFirstColumn="0" w:firstRowLastColumn="0" w:lastRowFirstColumn="0" w:lastRowLastColumn="0"/>
            </w:pPr>
            <w:r>
              <w:t>2 sublevels progress in English and one whole level in Maths</w:t>
            </w:r>
          </w:p>
        </w:tc>
      </w:tr>
      <w:t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tcPr>
          <w:p>
            <w:r>
              <w:t>JM</w:t>
            </w:r>
          </w:p>
        </w:tc>
        <w:tc>
          <w:tcPr>
            <w:tcW w:w="992"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Yes</w:t>
            </w:r>
          </w:p>
        </w:tc>
        <w:tc>
          <w:tcPr>
            <w:tcW w:w="709"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No</w:t>
            </w:r>
          </w:p>
        </w:tc>
        <w:tc>
          <w:tcPr>
            <w:tcW w:w="992"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E2-E3</w:t>
            </w:r>
          </w:p>
        </w:tc>
        <w:tc>
          <w:tcPr>
            <w:tcW w:w="993"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A1-E2</w:t>
            </w:r>
          </w:p>
        </w:tc>
        <w:tc>
          <w:tcPr>
            <w:tcW w:w="6179" w:type="dxa"/>
            <w:tcBorders>
              <w:top w:val="single" w:sz="4" w:space="0" w:color="auto"/>
              <w:left w:val="single" w:sz="4" w:space="0" w:color="auto"/>
              <w:bottom w:val="single" w:sz="4" w:space="0" w:color="auto"/>
              <w:right w:val="single" w:sz="4" w:space="0" w:color="auto"/>
            </w:tcBorders>
          </w:tcPr>
          <w:p>
            <w:pPr>
              <w:cnfStyle w:val="000000000000" w:firstRow="0" w:lastRow="0" w:firstColumn="0" w:lastColumn="0" w:oddVBand="0" w:evenVBand="0" w:oddHBand="0" w:evenHBand="0" w:firstRowFirstColumn="0" w:firstRowLastColumn="0" w:lastRowFirstColumn="0" w:lastRowLastColumn="0"/>
            </w:pPr>
            <w:r>
              <w:t>1 whole level progress in English and more than one whole level in Maths</w:t>
            </w:r>
          </w:p>
        </w:tc>
      </w:tr>
    </w:tbl>
    <w:p>
      <w:pPr>
        <w:pStyle w:val="Heading2"/>
        <w:jc w:val="center"/>
      </w:pPr>
      <w:r>
        <w:t>Increase in reading and spelling ages</w:t>
      </w:r>
    </w:p>
    <w:tbl>
      <w:tblPr>
        <w:tblStyle w:val="TableGrid"/>
        <w:tblW w:w="0" w:type="auto"/>
        <w:tblLook w:val="04A0" w:firstRow="1" w:lastRow="0" w:firstColumn="1" w:lastColumn="0" w:noHBand="0" w:noVBand="1"/>
      </w:tblPr>
      <w:tblGrid>
        <w:gridCol w:w="942"/>
        <w:gridCol w:w="1082"/>
        <w:gridCol w:w="1064"/>
        <w:gridCol w:w="1121"/>
        <w:gridCol w:w="1049"/>
        <w:gridCol w:w="1049"/>
        <w:gridCol w:w="1065"/>
        <w:gridCol w:w="978"/>
        <w:gridCol w:w="1041"/>
        <w:gridCol w:w="1065"/>
      </w:tblGrid>
      <w:tr>
        <w:tc>
          <w:tcPr>
            <w:tcW w:w="942" w:type="dxa"/>
          </w:tcPr>
          <w:p>
            <w:r>
              <w:t>Name</w:t>
            </w:r>
          </w:p>
        </w:tc>
        <w:tc>
          <w:tcPr>
            <w:tcW w:w="1082" w:type="dxa"/>
          </w:tcPr>
          <w:p>
            <w:r>
              <w:t>Reading Age on Arrival</w:t>
            </w:r>
          </w:p>
        </w:tc>
        <w:tc>
          <w:tcPr>
            <w:tcW w:w="1064" w:type="dxa"/>
          </w:tcPr>
          <w:p>
            <w:r>
              <w:t>Current Reading Age</w:t>
            </w:r>
          </w:p>
        </w:tc>
        <w:tc>
          <w:tcPr>
            <w:tcW w:w="1121" w:type="dxa"/>
          </w:tcPr>
          <w:p>
            <w:r>
              <w:t>Difference in Years</w:t>
            </w:r>
          </w:p>
        </w:tc>
        <w:tc>
          <w:tcPr>
            <w:tcW w:w="1049" w:type="dxa"/>
          </w:tcPr>
          <w:p>
            <w:r>
              <w:t>Spelling Age on Arrival</w:t>
            </w:r>
          </w:p>
        </w:tc>
        <w:tc>
          <w:tcPr>
            <w:tcW w:w="1049" w:type="dxa"/>
          </w:tcPr>
          <w:p>
            <w:r>
              <w:t>Current Spelling Age</w:t>
            </w:r>
          </w:p>
        </w:tc>
        <w:tc>
          <w:tcPr>
            <w:tcW w:w="1065" w:type="dxa"/>
          </w:tcPr>
          <w:p>
            <w:r>
              <w:t>Difference in Years</w:t>
            </w:r>
          </w:p>
        </w:tc>
        <w:tc>
          <w:tcPr>
            <w:tcW w:w="978" w:type="dxa"/>
          </w:tcPr>
          <w:p>
            <w:r>
              <w:t>Maths Age on Arrival</w:t>
            </w:r>
          </w:p>
        </w:tc>
        <w:tc>
          <w:tcPr>
            <w:tcW w:w="1041" w:type="dxa"/>
          </w:tcPr>
          <w:p>
            <w:r>
              <w:t>Current Maths Age</w:t>
            </w:r>
          </w:p>
        </w:tc>
        <w:tc>
          <w:tcPr>
            <w:tcW w:w="1065" w:type="dxa"/>
          </w:tcPr>
          <w:p>
            <w:r>
              <w:t>Difference in Years</w:t>
            </w:r>
          </w:p>
        </w:tc>
      </w:tr>
      <w:tr>
        <w:tc>
          <w:tcPr>
            <w:tcW w:w="942" w:type="dxa"/>
          </w:tcPr>
          <w:p>
            <w:r>
              <w:t>AA</w:t>
            </w:r>
          </w:p>
        </w:tc>
        <w:tc>
          <w:tcPr>
            <w:tcW w:w="1082" w:type="dxa"/>
          </w:tcPr>
          <w:p>
            <w:r>
              <w:t>9.5</w:t>
            </w:r>
          </w:p>
        </w:tc>
        <w:tc>
          <w:tcPr>
            <w:tcW w:w="1064" w:type="dxa"/>
          </w:tcPr>
          <w:p>
            <w:r>
              <w:t>10.5</w:t>
            </w:r>
          </w:p>
        </w:tc>
        <w:tc>
          <w:tcPr>
            <w:tcW w:w="1121" w:type="dxa"/>
            <w:shd w:val="clear" w:color="auto" w:fill="9BBB59" w:themeFill="accent3"/>
          </w:tcPr>
          <w:p>
            <w:r>
              <w:t>1</w:t>
            </w:r>
          </w:p>
        </w:tc>
        <w:tc>
          <w:tcPr>
            <w:tcW w:w="1049" w:type="dxa"/>
            <w:shd w:val="clear" w:color="auto" w:fill="auto"/>
          </w:tcPr>
          <w:p>
            <w:r>
              <w:t>9.0</w:t>
            </w:r>
          </w:p>
        </w:tc>
        <w:tc>
          <w:tcPr>
            <w:tcW w:w="1049" w:type="dxa"/>
            <w:shd w:val="clear" w:color="auto" w:fill="auto"/>
          </w:tcPr>
          <w:p>
            <w:r>
              <w:t>10.5</w:t>
            </w:r>
          </w:p>
        </w:tc>
        <w:tc>
          <w:tcPr>
            <w:tcW w:w="1065" w:type="dxa"/>
            <w:shd w:val="clear" w:color="auto" w:fill="9BBB59" w:themeFill="accent3"/>
          </w:tcPr>
          <w:p>
            <w:r>
              <w:t>1.5</w:t>
            </w:r>
          </w:p>
        </w:tc>
        <w:tc>
          <w:tcPr>
            <w:tcW w:w="978" w:type="dxa"/>
            <w:shd w:val="clear" w:color="auto" w:fill="auto"/>
          </w:tcPr>
          <w:p>
            <w:r>
              <w:t>12.00</w:t>
            </w:r>
          </w:p>
        </w:tc>
        <w:tc>
          <w:tcPr>
            <w:tcW w:w="1041" w:type="dxa"/>
            <w:shd w:val="clear" w:color="auto" w:fill="auto"/>
          </w:tcPr>
          <w:p>
            <w:r>
              <w:t>12.00</w:t>
            </w:r>
          </w:p>
        </w:tc>
        <w:tc>
          <w:tcPr>
            <w:tcW w:w="1065" w:type="dxa"/>
            <w:shd w:val="clear" w:color="auto" w:fill="F79646" w:themeFill="accent6"/>
          </w:tcPr>
          <w:p>
            <w:r>
              <w:t>0.00</w:t>
            </w:r>
          </w:p>
        </w:tc>
      </w:tr>
      <w:tr>
        <w:tc>
          <w:tcPr>
            <w:tcW w:w="942" w:type="dxa"/>
          </w:tcPr>
          <w:p>
            <w:r>
              <w:t>JB</w:t>
            </w:r>
          </w:p>
        </w:tc>
        <w:tc>
          <w:tcPr>
            <w:tcW w:w="1082" w:type="dxa"/>
          </w:tcPr>
          <w:p>
            <w:r>
              <w:t>18.00</w:t>
            </w:r>
          </w:p>
        </w:tc>
        <w:tc>
          <w:tcPr>
            <w:tcW w:w="1064" w:type="dxa"/>
          </w:tcPr>
          <w:p>
            <w:r>
              <w:t>18.00</w:t>
            </w:r>
          </w:p>
        </w:tc>
        <w:tc>
          <w:tcPr>
            <w:tcW w:w="1121" w:type="dxa"/>
            <w:shd w:val="clear" w:color="auto" w:fill="F79646" w:themeFill="accent6"/>
          </w:tcPr>
          <w:p>
            <w:r>
              <w:t>0.00</w:t>
            </w:r>
          </w:p>
        </w:tc>
        <w:tc>
          <w:tcPr>
            <w:tcW w:w="1049" w:type="dxa"/>
            <w:shd w:val="clear" w:color="auto" w:fill="auto"/>
          </w:tcPr>
          <w:p>
            <w:r>
              <w:t>7.5</w:t>
            </w:r>
          </w:p>
        </w:tc>
        <w:tc>
          <w:tcPr>
            <w:tcW w:w="1049" w:type="dxa"/>
            <w:shd w:val="clear" w:color="auto" w:fill="auto"/>
          </w:tcPr>
          <w:p>
            <w:r>
              <w:t>8.5</w:t>
            </w:r>
          </w:p>
        </w:tc>
        <w:tc>
          <w:tcPr>
            <w:tcW w:w="1065" w:type="dxa"/>
            <w:shd w:val="clear" w:color="auto" w:fill="9BBB59" w:themeFill="accent3"/>
          </w:tcPr>
          <w:p>
            <w:r>
              <w:t>1</w:t>
            </w:r>
          </w:p>
        </w:tc>
        <w:tc>
          <w:tcPr>
            <w:tcW w:w="978" w:type="dxa"/>
            <w:shd w:val="clear" w:color="auto" w:fill="auto"/>
          </w:tcPr>
          <w:p>
            <w:r>
              <w:t>9.5</w:t>
            </w:r>
          </w:p>
        </w:tc>
        <w:tc>
          <w:tcPr>
            <w:tcW w:w="1041" w:type="dxa"/>
            <w:shd w:val="clear" w:color="auto" w:fill="auto"/>
          </w:tcPr>
          <w:p>
            <w:r>
              <w:t>9.5</w:t>
            </w:r>
          </w:p>
        </w:tc>
        <w:tc>
          <w:tcPr>
            <w:tcW w:w="1065" w:type="dxa"/>
            <w:shd w:val="clear" w:color="auto" w:fill="F79646" w:themeFill="accent6"/>
          </w:tcPr>
          <w:p>
            <w:r>
              <w:t>0.00</w:t>
            </w:r>
          </w:p>
        </w:tc>
      </w:tr>
      <w:tr>
        <w:tc>
          <w:tcPr>
            <w:tcW w:w="942" w:type="dxa"/>
          </w:tcPr>
          <w:p>
            <w:r>
              <w:t>DG</w:t>
            </w:r>
          </w:p>
        </w:tc>
        <w:tc>
          <w:tcPr>
            <w:tcW w:w="1082" w:type="dxa"/>
          </w:tcPr>
          <w:p>
            <w:r>
              <w:t>8.5</w:t>
            </w:r>
          </w:p>
        </w:tc>
        <w:tc>
          <w:tcPr>
            <w:tcW w:w="1064" w:type="dxa"/>
          </w:tcPr>
          <w:p>
            <w:r>
              <w:t>8.5</w:t>
            </w:r>
          </w:p>
        </w:tc>
        <w:tc>
          <w:tcPr>
            <w:tcW w:w="1121" w:type="dxa"/>
            <w:shd w:val="clear" w:color="auto" w:fill="F79646" w:themeFill="accent6"/>
          </w:tcPr>
          <w:p>
            <w:r>
              <w:t>0.00</w:t>
            </w:r>
          </w:p>
        </w:tc>
        <w:tc>
          <w:tcPr>
            <w:tcW w:w="1049" w:type="dxa"/>
            <w:shd w:val="clear" w:color="auto" w:fill="auto"/>
          </w:tcPr>
          <w:p>
            <w:r>
              <w:t>8.5</w:t>
            </w:r>
          </w:p>
        </w:tc>
        <w:tc>
          <w:tcPr>
            <w:tcW w:w="1049" w:type="dxa"/>
            <w:shd w:val="clear" w:color="auto" w:fill="auto"/>
          </w:tcPr>
          <w:p>
            <w:r>
              <w:t>8.5</w:t>
            </w:r>
          </w:p>
        </w:tc>
        <w:tc>
          <w:tcPr>
            <w:tcW w:w="1065" w:type="dxa"/>
            <w:shd w:val="clear" w:color="auto" w:fill="F79646" w:themeFill="accent6"/>
          </w:tcPr>
          <w:p>
            <w:r>
              <w:t>0.00</w:t>
            </w:r>
          </w:p>
        </w:tc>
        <w:tc>
          <w:tcPr>
            <w:tcW w:w="978" w:type="dxa"/>
            <w:shd w:val="clear" w:color="auto" w:fill="auto"/>
          </w:tcPr>
          <w:p>
            <w:r>
              <w:t>10.00</w:t>
            </w:r>
          </w:p>
        </w:tc>
        <w:tc>
          <w:tcPr>
            <w:tcW w:w="1041" w:type="dxa"/>
            <w:shd w:val="clear" w:color="auto" w:fill="auto"/>
          </w:tcPr>
          <w:p>
            <w:r>
              <w:t>10.5</w:t>
            </w:r>
          </w:p>
        </w:tc>
        <w:tc>
          <w:tcPr>
            <w:tcW w:w="1065" w:type="dxa"/>
            <w:shd w:val="clear" w:color="auto" w:fill="9BBB59" w:themeFill="accent3"/>
          </w:tcPr>
          <w:p>
            <w:r>
              <w:t>0.5</w:t>
            </w:r>
          </w:p>
        </w:tc>
      </w:tr>
      <w:tr>
        <w:tc>
          <w:tcPr>
            <w:tcW w:w="942" w:type="dxa"/>
          </w:tcPr>
          <w:p>
            <w:r>
              <w:t>JM</w:t>
            </w:r>
          </w:p>
        </w:tc>
        <w:tc>
          <w:tcPr>
            <w:tcW w:w="1082" w:type="dxa"/>
          </w:tcPr>
          <w:p>
            <w:r>
              <w:t>18</w:t>
            </w:r>
          </w:p>
        </w:tc>
        <w:tc>
          <w:tcPr>
            <w:tcW w:w="1064" w:type="dxa"/>
          </w:tcPr>
          <w:p>
            <w:r>
              <w:t>18</w:t>
            </w:r>
          </w:p>
        </w:tc>
        <w:tc>
          <w:tcPr>
            <w:tcW w:w="1121" w:type="dxa"/>
            <w:shd w:val="clear" w:color="auto" w:fill="F79646" w:themeFill="accent6"/>
          </w:tcPr>
          <w:p>
            <w:r>
              <w:t>0.00</w:t>
            </w:r>
          </w:p>
        </w:tc>
        <w:tc>
          <w:tcPr>
            <w:tcW w:w="1049" w:type="dxa"/>
            <w:shd w:val="clear" w:color="auto" w:fill="auto"/>
          </w:tcPr>
          <w:p>
            <w:r>
              <w:t>18</w:t>
            </w:r>
          </w:p>
        </w:tc>
        <w:tc>
          <w:tcPr>
            <w:tcW w:w="1049" w:type="dxa"/>
            <w:shd w:val="clear" w:color="auto" w:fill="auto"/>
          </w:tcPr>
          <w:p>
            <w:r>
              <w:t>18</w:t>
            </w:r>
          </w:p>
        </w:tc>
        <w:tc>
          <w:tcPr>
            <w:tcW w:w="1065" w:type="dxa"/>
            <w:shd w:val="clear" w:color="auto" w:fill="F79646" w:themeFill="accent6"/>
          </w:tcPr>
          <w:p>
            <w:r>
              <w:t>0.00</w:t>
            </w:r>
          </w:p>
        </w:tc>
        <w:tc>
          <w:tcPr>
            <w:tcW w:w="978" w:type="dxa"/>
            <w:shd w:val="clear" w:color="auto" w:fill="auto"/>
          </w:tcPr>
          <w:p>
            <w:r>
              <w:t>11.5</w:t>
            </w:r>
          </w:p>
        </w:tc>
        <w:tc>
          <w:tcPr>
            <w:tcW w:w="1041" w:type="dxa"/>
            <w:shd w:val="clear" w:color="auto" w:fill="auto"/>
          </w:tcPr>
          <w:p>
            <w:r>
              <w:t>11.5</w:t>
            </w:r>
          </w:p>
        </w:tc>
        <w:tc>
          <w:tcPr>
            <w:tcW w:w="1065" w:type="dxa"/>
            <w:shd w:val="clear" w:color="auto" w:fill="F79646" w:themeFill="accent6"/>
          </w:tcPr>
          <w:p>
            <w:r>
              <w:t>0.00</w:t>
            </w:r>
          </w:p>
        </w:tc>
      </w:tr>
    </w:tbl>
    <w:p>
      <w:pPr>
        <w:pStyle w:val="Heading2"/>
        <w:jc w:val="center"/>
      </w:pPr>
      <w:r>
        <w:t>Impact of interventions on soft skills</w:t>
      </w:r>
    </w:p>
    <w:p>
      <w:pPr>
        <w:spacing w:line="240" w:lineRule="auto"/>
      </w:pPr>
      <w:r>
        <w:t>At Hailey Hall School, all pupils are awarded points for various categories of learning behaviour; points are awarded at the end of each lesson and are grouped into 3 categories. Each of these 3 categories we believe is the cornerstone to a healthy child’s mental wellbeing to enable them to function well in society and have been developed from the Boxall Profile:</w:t>
      </w:r>
    </w:p>
    <w:p>
      <w:pPr>
        <w:spacing w:before="0" w:after="0" w:line="240" w:lineRule="auto"/>
        <w:rPr>
          <w:b/>
          <w:bCs/>
        </w:rPr>
      </w:pPr>
      <w:r>
        <w:rPr>
          <w:b/>
        </w:rPr>
        <w:t>Learning Behaviour</w:t>
      </w:r>
      <w:r>
        <w:t xml:space="preserve"> -</w:t>
      </w:r>
      <w:r>
        <w:rPr>
          <w:b/>
          <w:bCs/>
        </w:rPr>
        <w:t xml:space="preserve"> </w:t>
      </w:r>
      <w:r>
        <w:rPr>
          <w:bCs/>
        </w:rPr>
        <w:t>Positive interest in school work, communicating well in class, staying on task and coming prepared to learn.</w:t>
      </w:r>
    </w:p>
    <w:p>
      <w:pPr>
        <w:spacing w:before="0" w:after="0" w:line="240" w:lineRule="auto"/>
      </w:pPr>
      <w:r>
        <w:rPr>
          <w:b/>
        </w:rPr>
        <w:t>Conduct behaviour</w:t>
      </w:r>
      <w:r>
        <w:rPr>
          <w:bCs/>
        </w:rPr>
        <w:t xml:space="preserve"> - </w:t>
      </w:r>
      <w:r>
        <w:t>Respect to staff and peers, respecting property and behaving appropriately in lesson.</w:t>
      </w:r>
    </w:p>
    <w:p>
      <w:pPr>
        <w:spacing w:before="0" w:after="0" w:line="240" w:lineRule="auto"/>
      </w:pPr>
      <w:r>
        <w:rPr>
          <w:b/>
        </w:rPr>
        <w:t>Emotional behaviour</w:t>
      </w:r>
      <w:r>
        <w:t xml:space="preserve"> - Demonstrating resilience, having a positive attitude, showing empathy towards others and being socially aware.</w:t>
      </w:r>
    </w:p>
    <w:p>
      <w:r>
        <w:t xml:space="preserve">Please note that a negative figure is good when looking at this analysis as this means behaviour has improved. </w:t>
      </w:r>
    </w:p>
    <w:tbl>
      <w:tblPr>
        <w:tblStyle w:val="TableGrid"/>
        <w:tblW w:w="0" w:type="auto"/>
        <w:tblInd w:w="-34" w:type="dxa"/>
        <w:tblLook w:val="04A0" w:firstRow="1" w:lastRow="0" w:firstColumn="1" w:lastColumn="0" w:noHBand="0" w:noVBand="1"/>
      </w:tblPr>
      <w:tblGrid>
        <w:gridCol w:w="824"/>
        <w:gridCol w:w="992"/>
        <w:gridCol w:w="2127"/>
        <w:gridCol w:w="1842"/>
        <w:gridCol w:w="4705"/>
      </w:tblGrid>
      <w:tr>
        <w:tc>
          <w:tcPr>
            <w:tcW w:w="824" w:type="dxa"/>
          </w:tcPr>
          <w:p>
            <w:pPr>
              <w:pStyle w:val="ListParagraph"/>
              <w:ind w:left="0"/>
            </w:pPr>
            <w:r>
              <w:t>Name</w:t>
            </w:r>
          </w:p>
        </w:tc>
        <w:tc>
          <w:tcPr>
            <w:tcW w:w="9666" w:type="dxa"/>
            <w:gridSpan w:val="4"/>
          </w:tcPr>
          <w:p>
            <w:pPr>
              <w:pStyle w:val="ListParagraph"/>
              <w:ind w:left="0"/>
              <w:jc w:val="center"/>
            </w:pPr>
            <w:r>
              <w:t>Soft Skills Progression (see index for explanation). Below shows the progress from the first data capture to the last whole data capture</w:t>
            </w:r>
          </w:p>
        </w:tc>
      </w:tr>
      <w:tr>
        <w:tc>
          <w:tcPr>
            <w:tcW w:w="824" w:type="dxa"/>
          </w:tcPr>
          <w:p>
            <w:pPr>
              <w:pStyle w:val="ListParagraph"/>
              <w:ind w:left="0"/>
            </w:pPr>
          </w:p>
        </w:tc>
        <w:tc>
          <w:tcPr>
            <w:tcW w:w="992" w:type="dxa"/>
          </w:tcPr>
          <w:p>
            <w:pPr>
              <w:pStyle w:val="ListParagraph"/>
              <w:ind w:left="0"/>
            </w:pPr>
          </w:p>
        </w:tc>
        <w:tc>
          <w:tcPr>
            <w:tcW w:w="2127" w:type="dxa"/>
          </w:tcPr>
          <w:p>
            <w:pPr>
              <w:pStyle w:val="ListParagraph"/>
              <w:ind w:left="0"/>
            </w:pPr>
            <w:r>
              <w:t>Learning Behaviour</w:t>
            </w:r>
          </w:p>
        </w:tc>
        <w:tc>
          <w:tcPr>
            <w:tcW w:w="1842" w:type="dxa"/>
          </w:tcPr>
          <w:p>
            <w:pPr>
              <w:pStyle w:val="ListParagraph"/>
              <w:ind w:left="0"/>
            </w:pPr>
            <w:r>
              <w:t>Conduct Behaviour</w:t>
            </w:r>
          </w:p>
        </w:tc>
        <w:tc>
          <w:tcPr>
            <w:tcW w:w="4705" w:type="dxa"/>
          </w:tcPr>
          <w:p>
            <w:pPr>
              <w:pStyle w:val="ListParagraph"/>
              <w:ind w:left="0"/>
            </w:pPr>
            <w:r>
              <w:t>Emotional Behaviour</w:t>
            </w:r>
          </w:p>
        </w:tc>
      </w:tr>
      <w:tr>
        <w:tc>
          <w:tcPr>
            <w:tcW w:w="1816" w:type="dxa"/>
            <w:gridSpan w:val="2"/>
          </w:tcPr>
          <w:p>
            <w:r>
              <w:t>AA</w:t>
            </w:r>
          </w:p>
        </w:tc>
        <w:tc>
          <w:tcPr>
            <w:tcW w:w="2127" w:type="dxa"/>
            <w:shd w:val="clear" w:color="auto" w:fill="F79646" w:themeFill="accent6"/>
          </w:tcPr>
          <w:p>
            <w:pPr>
              <w:pStyle w:val="ListParagraph"/>
              <w:ind w:left="0"/>
            </w:pPr>
            <w:r>
              <w:t>0.80</w:t>
            </w:r>
          </w:p>
        </w:tc>
        <w:tc>
          <w:tcPr>
            <w:tcW w:w="1842" w:type="dxa"/>
            <w:shd w:val="clear" w:color="auto" w:fill="C2D69B" w:themeFill="accent3" w:themeFillTint="99"/>
          </w:tcPr>
          <w:p>
            <w:pPr>
              <w:pStyle w:val="ListParagraph"/>
              <w:ind w:left="0"/>
            </w:pPr>
            <w:r>
              <w:t>-1.80</w:t>
            </w:r>
          </w:p>
        </w:tc>
        <w:tc>
          <w:tcPr>
            <w:tcW w:w="4705" w:type="dxa"/>
            <w:shd w:val="clear" w:color="auto" w:fill="C2D69B" w:themeFill="accent3" w:themeFillTint="99"/>
          </w:tcPr>
          <w:p>
            <w:pPr>
              <w:pStyle w:val="ListParagraph"/>
              <w:ind w:left="0"/>
            </w:pPr>
            <w:r>
              <w:t>-1.60</w:t>
            </w:r>
          </w:p>
        </w:tc>
      </w:tr>
      <w:tr>
        <w:tc>
          <w:tcPr>
            <w:tcW w:w="1816" w:type="dxa"/>
            <w:gridSpan w:val="2"/>
          </w:tcPr>
          <w:p>
            <w:r>
              <w:t>JB</w:t>
            </w:r>
          </w:p>
        </w:tc>
        <w:tc>
          <w:tcPr>
            <w:tcW w:w="2127" w:type="dxa"/>
            <w:shd w:val="clear" w:color="auto" w:fill="C2D69B" w:themeFill="accent3" w:themeFillTint="99"/>
          </w:tcPr>
          <w:p>
            <w:pPr>
              <w:pStyle w:val="ListParagraph"/>
              <w:ind w:left="0"/>
            </w:pPr>
            <w:r>
              <w:t>-1.21</w:t>
            </w:r>
          </w:p>
        </w:tc>
        <w:tc>
          <w:tcPr>
            <w:tcW w:w="1842" w:type="dxa"/>
            <w:shd w:val="clear" w:color="auto" w:fill="C2D69B" w:themeFill="accent3" w:themeFillTint="99"/>
          </w:tcPr>
          <w:p>
            <w:pPr>
              <w:pStyle w:val="ListParagraph"/>
              <w:ind w:left="0"/>
            </w:pPr>
            <w:r>
              <w:t>-2.08</w:t>
            </w:r>
          </w:p>
        </w:tc>
        <w:tc>
          <w:tcPr>
            <w:tcW w:w="4705" w:type="dxa"/>
            <w:shd w:val="clear" w:color="auto" w:fill="C2D69B" w:themeFill="accent3" w:themeFillTint="99"/>
          </w:tcPr>
          <w:p>
            <w:pPr>
              <w:pStyle w:val="ListParagraph"/>
              <w:ind w:left="0"/>
            </w:pPr>
            <w:r>
              <w:t>-2.36</w:t>
            </w:r>
          </w:p>
        </w:tc>
      </w:tr>
      <w:tr>
        <w:tc>
          <w:tcPr>
            <w:tcW w:w="1816" w:type="dxa"/>
            <w:gridSpan w:val="2"/>
          </w:tcPr>
          <w:p>
            <w:r>
              <w:t>DG</w:t>
            </w:r>
          </w:p>
        </w:tc>
        <w:tc>
          <w:tcPr>
            <w:tcW w:w="2127" w:type="dxa"/>
            <w:shd w:val="clear" w:color="auto" w:fill="C2D69B" w:themeFill="accent3" w:themeFillTint="99"/>
          </w:tcPr>
          <w:p>
            <w:pPr>
              <w:pStyle w:val="ListParagraph"/>
              <w:ind w:left="0"/>
            </w:pPr>
            <w:r>
              <w:t>-1.08</w:t>
            </w:r>
          </w:p>
        </w:tc>
        <w:tc>
          <w:tcPr>
            <w:tcW w:w="1842" w:type="dxa"/>
            <w:shd w:val="clear" w:color="auto" w:fill="F79646" w:themeFill="accent6"/>
          </w:tcPr>
          <w:p>
            <w:pPr>
              <w:pStyle w:val="ListParagraph"/>
              <w:ind w:left="0"/>
            </w:pPr>
            <w:r>
              <w:t>0.52</w:t>
            </w:r>
          </w:p>
        </w:tc>
        <w:tc>
          <w:tcPr>
            <w:tcW w:w="4705" w:type="dxa"/>
            <w:shd w:val="clear" w:color="auto" w:fill="C2D69B" w:themeFill="accent3" w:themeFillTint="99"/>
          </w:tcPr>
          <w:p>
            <w:pPr>
              <w:pStyle w:val="ListParagraph"/>
              <w:ind w:left="0"/>
            </w:pPr>
            <w:r>
              <w:t>-1.25</w:t>
            </w:r>
          </w:p>
        </w:tc>
      </w:tr>
      <w:tr>
        <w:tc>
          <w:tcPr>
            <w:tcW w:w="1816" w:type="dxa"/>
            <w:gridSpan w:val="2"/>
          </w:tcPr>
          <w:p>
            <w:r>
              <w:t>JM</w:t>
            </w:r>
          </w:p>
        </w:tc>
        <w:tc>
          <w:tcPr>
            <w:tcW w:w="2127" w:type="dxa"/>
            <w:shd w:val="clear" w:color="auto" w:fill="C2D69B" w:themeFill="accent3" w:themeFillTint="99"/>
          </w:tcPr>
          <w:p>
            <w:pPr>
              <w:pStyle w:val="ListParagraph"/>
              <w:ind w:left="0"/>
            </w:pPr>
            <w:r>
              <w:t>-0.49</w:t>
            </w:r>
          </w:p>
        </w:tc>
        <w:tc>
          <w:tcPr>
            <w:tcW w:w="1842" w:type="dxa"/>
            <w:shd w:val="clear" w:color="auto" w:fill="C2D69B" w:themeFill="accent3" w:themeFillTint="99"/>
          </w:tcPr>
          <w:p>
            <w:pPr>
              <w:pStyle w:val="ListParagraph"/>
              <w:ind w:left="0"/>
            </w:pPr>
            <w:r>
              <w:t>-1.96</w:t>
            </w:r>
          </w:p>
        </w:tc>
        <w:tc>
          <w:tcPr>
            <w:tcW w:w="4705" w:type="dxa"/>
            <w:shd w:val="clear" w:color="auto" w:fill="C2D69B" w:themeFill="accent3" w:themeFillTint="99"/>
          </w:tcPr>
          <w:p>
            <w:pPr>
              <w:pStyle w:val="ListParagraph"/>
              <w:ind w:left="0"/>
            </w:pPr>
            <w:r>
              <w:t>-1.64</w:t>
            </w:r>
          </w:p>
        </w:tc>
      </w:tr>
    </w:tbl>
    <w:p>
      <w:pPr>
        <w:pStyle w:val="Heading2"/>
        <w:jc w:val="center"/>
      </w:pPr>
      <w:r>
        <w:t>How we ARE spendING our catch up funding in 2018-2019?</w:t>
      </w:r>
      <w:bookmarkStart w:id="0" w:name="_GoBack"/>
      <w:bookmarkEnd w:id="0"/>
    </w:p>
    <w:p>
      <w:r>
        <w:t>We are spending our allocation as per the previous year which will include intensive one-to-one support for individual pupils.</w:t>
      </w:r>
    </w:p>
    <w:p>
      <w:pPr>
        <w:jc w:val="center"/>
        <w:rPr>
          <w:b/>
        </w:rPr>
      </w:pPr>
      <w:r>
        <w:rPr>
          <w:b/>
        </w:rPr>
        <w:t>This document will be updated in October 2019 when we have identified the Year 7 pupils for catch up funding.</w:t>
      </w:r>
    </w:p>
    <w:p/>
    <w:sectPr>
      <w:footerReference w:type="default" r:id="rId9"/>
      <w:pgSz w:w="11906" w:h="16838"/>
      <w:pgMar w:top="720" w:right="720" w:bottom="720" w:left="720"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tc>
        <w:tcPr>
          <w:tcW w:w="918" w:type="dxa"/>
        </w:tcPr>
        <w:p>
          <w:pPr>
            <w:pStyle w:val="Footer"/>
            <w:jc w:val="right"/>
            <w:rPr>
              <w:b/>
              <w:bCs/>
              <w:color w:val="4F81BD" w:themeColor="accent1"/>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Pr>
              <w:b/>
              <w:bCs/>
              <w:noProof/>
              <w:color w:val="4F81BD" w:themeColor="accent1"/>
              <w14:shadow w14:blurRad="50800" w14:dist="38100" w14:dir="2700000" w14:sx="100000" w14:sy="100000" w14:kx="0" w14:ky="0" w14:algn="tl">
                <w14:srgbClr w14:val="000000">
                  <w14:alpha w14:val="60000"/>
                </w14:srgbClr>
              </w14:shadow>
              <w14:numForm w14:val="oldStyle"/>
            </w:rPr>
            <w:t>2</w:t>
          </w:r>
          <w:r>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pPr>
            <w:pStyle w:val="Footer"/>
            <w:rPr>
              <w:sz w:val="16"/>
              <w:szCs w:val="16"/>
            </w:rPr>
          </w:pPr>
          <w:r>
            <w:rPr>
              <w:sz w:val="16"/>
              <w:szCs w:val="16"/>
            </w:rPr>
            <w:t>Document Resides T:\#Data\#Assessment Data\#Assessment Data 2018-2019\Catch up Funding. Last updated 22.11.2018</w:t>
          </w: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F1E"/>
    <w:multiLevelType w:val="hybridMultilevel"/>
    <w:tmpl w:val="0A5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3100B"/>
    <w:multiLevelType w:val="hybridMultilevel"/>
    <w:tmpl w:val="75D0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D5EA1"/>
    <w:multiLevelType w:val="hybridMultilevel"/>
    <w:tmpl w:val="3814D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1A2FF1"/>
    <w:multiLevelType w:val="hybridMultilevel"/>
    <w:tmpl w:val="EDE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0F3373B-02C6-4B95-8702-FBCE957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Pr>
      <w:caps/>
      <w:spacing w:val="15"/>
      <w:shd w:val="clear" w:color="auto" w:fill="DBE5F1" w:themeFill="accent1" w:themeFillTint="33"/>
    </w:rPr>
  </w:style>
  <w:style w:type="character" w:customStyle="1" w:styleId="Heading3Char">
    <w:name w:val="Heading 3 Char"/>
    <w:basedOn w:val="DefaultParagraphFont"/>
    <w:link w:val="Heading3"/>
    <w:uiPriority w:val="9"/>
    <w:rPr>
      <w:caps/>
      <w:color w:val="243F60" w:themeColor="accent1" w:themeShade="7F"/>
      <w:spacing w:val="15"/>
    </w:rPr>
  </w:style>
  <w:style w:type="character" w:customStyle="1" w:styleId="Heading4Char">
    <w:name w:val="Heading 4 Char"/>
    <w:basedOn w:val="DefaultParagraphFont"/>
    <w:link w:val="Heading4"/>
    <w:uiPriority w:val="9"/>
    <w:rPr>
      <w:caps/>
      <w:color w:val="365F91" w:themeColor="accent1" w:themeShade="BF"/>
      <w:spacing w:val="10"/>
    </w:rPr>
  </w:style>
  <w:style w:type="character" w:customStyle="1" w:styleId="Heading5Char">
    <w:name w:val="Heading 5 Char"/>
    <w:basedOn w:val="DefaultParagraphFont"/>
    <w:link w:val="Heading5"/>
    <w:uiPriority w:val="9"/>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365F91" w:themeColor="accent1" w:themeShade="BF"/>
      <w:sz w:val="16"/>
      <w:szCs w:val="16"/>
    </w:rPr>
  </w:style>
  <w:style w:type="paragraph" w:styleId="Title">
    <w:name w:val="Title"/>
    <w:basedOn w:val="Normal"/>
    <w:next w:val="Normal"/>
    <w:link w:val="TitleChar"/>
    <w:uiPriority w:val="10"/>
    <w:qFormat/>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Pr>
      <w:caps/>
      <w:color w:val="4F81BD"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243F60" w:themeColor="accent1" w:themeShade="7F"/>
      <w:spacing w:val="5"/>
    </w:rPr>
  </w:style>
  <w:style w:type="paragraph" w:styleId="NoSpacing">
    <w:name w:val="No Spacing"/>
    <w:basedOn w:val="Normal"/>
    <w:link w:val="NoSpacingChar"/>
    <w:uiPriority w:val="1"/>
    <w:qFormat/>
    <w:pPr>
      <w:spacing w:before="0"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0"/>
      <w:szCs w:val="20"/>
    </w:rPr>
  </w:style>
  <w:style w:type="character" w:styleId="SubtleEmphasis">
    <w:name w:val="Subtle Emphasis"/>
    <w:uiPriority w:val="19"/>
    <w:qFormat/>
    <w:rPr>
      <w:i/>
      <w:iCs/>
      <w:color w:val="243F60" w:themeColor="accent1" w:themeShade="7F"/>
    </w:rPr>
  </w:style>
  <w:style w:type="character" w:styleId="IntenseEmphasis">
    <w:name w:val="Intense Emphasis"/>
    <w:uiPriority w:val="21"/>
    <w:qFormat/>
    <w:rPr>
      <w:b/>
      <w:bCs/>
      <w:caps/>
      <w:color w:val="243F60" w:themeColor="accent1" w:themeShade="7F"/>
      <w:spacing w:val="10"/>
    </w:rPr>
  </w:style>
  <w:style w:type="character" w:styleId="SubtleReference">
    <w:name w:val="Subtle Reference"/>
    <w:uiPriority w:val="31"/>
    <w:qFormat/>
    <w:rPr>
      <w:b/>
      <w:bCs/>
      <w:color w:val="4F81BD" w:themeColor="accent1"/>
    </w:rPr>
  </w:style>
  <w:style w:type="character" w:styleId="IntenseReference">
    <w:name w:val="Intense Reference"/>
    <w:uiPriority w:val="32"/>
    <w:qFormat/>
    <w:rPr>
      <w:b/>
      <w:bCs/>
      <w:i/>
      <w:iCs/>
      <w:caps/>
      <w:color w:val="4F81BD"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rPr>
      <w:lang w:bidi="en-US"/>
    </w:rPr>
  </w:style>
  <w:style w:type="character" w:customStyle="1" w:styleId="NoSpacingChar">
    <w:name w:val="No Spacing Char"/>
    <w:basedOn w:val="DefaultParagraphFont"/>
    <w:link w:val="NoSpacing"/>
    <w:uiPriority w:val="1"/>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0980-54B8-4FE5-8362-3DE28AD4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Hailey Hall School</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Katie Harris</cp:lastModifiedBy>
  <cp:revision>20</cp:revision>
  <cp:lastPrinted>2018-11-22T12:51:00Z</cp:lastPrinted>
  <dcterms:created xsi:type="dcterms:W3CDTF">2018-11-06T09:14:00Z</dcterms:created>
  <dcterms:modified xsi:type="dcterms:W3CDTF">2019-09-17T15:06:00Z</dcterms:modified>
</cp:coreProperties>
</file>